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exact"/>
        <w:rPr>
          <w:rFonts w:ascii="仿宋_GB2312" w:hAnsi="仿宋_GB2312" w:eastAsia="仿宋_GB2312"/>
          <w:sz w:val="30"/>
          <w:szCs w:val="30"/>
        </w:rPr>
      </w:pPr>
      <w:r>
        <w:rPr>
          <w:rFonts w:hint="eastAsia" w:ascii="仿宋_GB2312" w:hAnsi="仿宋_GB2312" w:eastAsia="仿宋_GB2312"/>
          <w:sz w:val="30"/>
          <w:szCs w:val="30"/>
        </w:rPr>
        <w:t>附件</w:t>
      </w:r>
    </w:p>
    <w:p>
      <w:pPr>
        <w:widowControl/>
        <w:spacing w:line="360" w:lineRule="exact"/>
        <w:rPr>
          <w:rFonts w:hint="eastAsia" w:ascii="仿宋_GB2312" w:hAnsi="仿宋_GB2312" w:eastAsia="仿宋_GB2312"/>
          <w:sz w:val="30"/>
          <w:szCs w:val="30"/>
        </w:rPr>
      </w:pPr>
    </w:p>
    <w:p>
      <w:pPr>
        <w:pStyle w:val="2"/>
        <w:spacing w:before="0" w:after="0" w:line="360" w:lineRule="exact"/>
        <w:jc w:val="center"/>
        <w:textAlignment w:val="baseline"/>
        <w:rPr>
          <w:rFonts w:hint="eastAsia" w:ascii="黑体" w:hAnsi="黑体" w:eastAsia="黑体" w:cs="黑体"/>
        </w:rPr>
      </w:pPr>
      <w:r>
        <w:rPr>
          <w:rFonts w:hint="eastAsia" w:ascii="黑体" w:hAnsi="黑体" w:eastAsia="黑体" w:cs="黑体"/>
        </w:rPr>
        <w:t>数控机床专项申报201</w:t>
      </w:r>
      <w:r>
        <w:rPr>
          <w:rFonts w:hint="eastAsia" w:ascii="黑体" w:hAnsi="黑体" w:eastAsia="黑体" w:cs="黑体"/>
          <w:lang w:val="en-US" w:eastAsia="zh-CN"/>
        </w:rPr>
        <w:t>8</w:t>
      </w:r>
      <w:r>
        <w:rPr>
          <w:rFonts w:hint="eastAsia" w:ascii="黑体" w:hAnsi="黑体" w:eastAsia="黑体" w:cs="黑体"/>
        </w:rPr>
        <w:t>年度课题申报单位</w:t>
      </w:r>
    </w:p>
    <w:p>
      <w:pPr>
        <w:pStyle w:val="2"/>
        <w:spacing w:before="0" w:after="0" w:line="360" w:lineRule="exact"/>
        <w:jc w:val="center"/>
        <w:textAlignment w:val="baseline"/>
        <w:rPr>
          <w:rFonts w:hint="eastAsia" w:ascii="黑体" w:hAnsi="黑体" w:eastAsia="黑体" w:cs="黑体"/>
        </w:rPr>
      </w:pPr>
      <w:r>
        <w:rPr>
          <w:rFonts w:hint="eastAsia" w:ascii="黑体" w:hAnsi="黑体" w:eastAsia="黑体" w:cs="黑体"/>
        </w:rPr>
        <w:t>应具备的可靠性研究基本条件</w:t>
      </w:r>
    </w:p>
    <w:p>
      <w:pPr>
        <w:widowControl/>
        <w:spacing w:line="360" w:lineRule="exact"/>
        <w:textAlignment w:val="baseline"/>
        <w:rPr>
          <w:rFonts w:hint="eastAsia" w:ascii="仿宋_GB2312" w:hAnsi="Times New Roman" w:eastAsia="仿宋_GB2312" w:cs="Times New Roman"/>
          <w:sz w:val="24"/>
        </w:rPr>
      </w:pPr>
    </w:p>
    <w:p>
      <w:pPr>
        <w:widowControl/>
        <w:spacing w:line="360" w:lineRule="exact"/>
        <w:ind w:firstLine="480" w:firstLineChars="200"/>
        <w:textAlignment w:val="baseline"/>
        <w:rPr>
          <w:rFonts w:hint="eastAsia" w:ascii="黑体" w:eastAsia="黑体"/>
          <w:sz w:val="24"/>
        </w:rPr>
      </w:pPr>
      <w:r>
        <w:rPr>
          <w:rFonts w:hint="eastAsia" w:ascii="黑体" w:eastAsia="黑体"/>
          <w:sz w:val="24"/>
        </w:rPr>
        <w:t>一、课题申报需提供的可靠性申报材料</w:t>
      </w:r>
    </w:p>
    <w:p>
      <w:pPr>
        <w:widowControl/>
        <w:spacing w:line="360" w:lineRule="exact"/>
        <w:ind w:firstLine="480" w:firstLineChars="200"/>
        <w:textAlignment w:val="baseline"/>
        <w:rPr>
          <w:rFonts w:hint="eastAsia" w:ascii="仿宋_GB2312" w:hAnsi="仿宋_GB2312" w:eastAsia="仿宋_GB2312" w:cs="仿宋_GB2312"/>
          <w:sz w:val="24"/>
        </w:rPr>
      </w:pPr>
      <w:r>
        <w:rPr>
          <w:rFonts w:hint="eastAsia" w:ascii="仿宋_GB2312" w:hAnsi="仿宋_GB2312" w:eastAsia="仿宋_GB2312" w:cs="仿宋_GB2312"/>
          <w:sz w:val="24"/>
        </w:rPr>
        <w:t>为推动数控机床专项各类产品可靠性研究、试验、考核工作的深入实施，专项拟在201</w:t>
      </w: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年课题申报指南中对所有产品类课题的申报单位要求提供前期开展可靠性工作的证明材料。</w:t>
      </w:r>
    </w:p>
    <w:p>
      <w:pPr>
        <w:widowControl/>
        <w:spacing w:line="360" w:lineRule="exact"/>
        <w:ind w:firstLine="480" w:firstLineChars="200"/>
        <w:textAlignment w:val="baseline"/>
        <w:rPr>
          <w:rFonts w:hint="eastAsia" w:ascii="仿宋_GB2312" w:hAnsi="仿宋_GB2312" w:eastAsia="仿宋_GB2312" w:cs="仿宋_GB2312"/>
          <w:sz w:val="24"/>
        </w:rPr>
      </w:pPr>
      <w:r>
        <w:rPr>
          <w:rFonts w:hint="eastAsia" w:ascii="仿宋_GB2312" w:hAnsi="仿宋_GB2312" w:eastAsia="仿宋_GB2312" w:cs="仿宋_GB2312"/>
          <w:sz w:val="24"/>
        </w:rPr>
        <w:t>申报材料要求：</w:t>
      </w:r>
    </w:p>
    <w:p>
      <w:pPr>
        <w:widowControl/>
        <w:spacing w:line="360" w:lineRule="exact"/>
        <w:ind w:firstLine="480" w:firstLineChars="200"/>
        <w:textAlignment w:val="baseline"/>
        <w:rPr>
          <w:rFonts w:hint="eastAsia" w:ascii="仿宋_GB2312" w:hAnsi="仿宋_GB2312" w:eastAsia="仿宋_GB2312" w:cs="仿宋_GB2312"/>
          <w:sz w:val="24"/>
        </w:rPr>
      </w:pPr>
      <w:r>
        <w:rPr>
          <w:rFonts w:hint="eastAsia" w:ascii="仿宋_GB2312" w:hAnsi="仿宋_GB2312" w:eastAsia="仿宋_GB2312" w:cs="仿宋_GB2312"/>
          <w:sz w:val="24"/>
        </w:rPr>
        <w:t>所有设备研制单位牵头申报或参与申报课题均应提供可靠性申报材料。</w:t>
      </w:r>
    </w:p>
    <w:p>
      <w:pPr>
        <w:widowControl/>
        <w:spacing w:line="3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每单位应至少提交两份材料，其中材料1必须提交，材料2、3可选择其中之一提交。</w:t>
      </w:r>
    </w:p>
    <w:p>
      <w:pPr>
        <w:widowControl/>
        <w:spacing w:line="360" w:lineRule="exact"/>
        <w:ind w:firstLine="480" w:firstLineChars="200"/>
        <w:rPr>
          <w:rFonts w:hint="eastAsia" w:ascii="仿宋_GB2312" w:hAnsi="仿宋_GB2312" w:eastAsia="仿宋_GB2312" w:cs="仿宋_GB2312"/>
          <w:sz w:val="24"/>
        </w:rPr>
      </w:pPr>
    </w:p>
    <w:p>
      <w:pPr>
        <w:widowControl/>
        <w:spacing w:line="3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证明材料主要包括：</w:t>
      </w:r>
    </w:p>
    <w:p>
      <w:pPr>
        <w:widowControl/>
        <w:spacing w:line="3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1、企业自身开展的典型产品可靠性试验报告</w:t>
      </w:r>
    </w:p>
    <w:p>
      <w:pPr>
        <w:widowControl/>
        <w:spacing w:line="3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近期</w:t>
      </w:r>
      <w:r>
        <w:rPr>
          <w:rFonts w:hint="eastAsia" w:ascii="仿宋_GB2312" w:hAnsi="仿宋_GB2312" w:eastAsia="仿宋_GB2312" w:cs="仿宋_GB2312"/>
          <w:sz w:val="24"/>
        </w:rPr>
        <w:t>（201</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年1月1日至申报截止期）所开展的可靠性试验报告，包括试验台的搭建、试验规范的建立、主要产品的试验过程、试验记录、试验结果分析和处理报告、试验设备及试验过程必要照片或视频等内容。</w:t>
      </w:r>
    </w:p>
    <w:p>
      <w:pPr>
        <w:widowControl/>
        <w:spacing w:line="3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其中不同类型产品需提供的可靠性试验工作的最低要求：主机1台运行500小时以上，数控系统1台2000小时，丝杠1根500小时，导轨1套500小时以上，刀库1台5万次以上，刀架1台5万次（各类试验应为加载运行试验，空载运行试验报告不予接收）。</w:t>
      </w:r>
    </w:p>
    <w:p>
      <w:pPr>
        <w:widowControl/>
        <w:spacing w:line="3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报告中所提到的试验产品技术指标应接近于专项前期任务安排指标，不接收技术水平较低产品（如非数控产品、简易（经济型）数控机床及数控系统、功能部件）的分析报告。</w:t>
      </w:r>
    </w:p>
    <w:p>
      <w:pPr>
        <w:widowControl/>
        <w:spacing w:line="3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以上报告应由第三方检测机构或从事可靠性研究工作的第三方研究机构（高校、研究所等）盖章，确认可靠性试验水平、数据及报告真实性。</w:t>
      </w:r>
    </w:p>
    <w:p>
      <w:pPr>
        <w:widowControl/>
        <w:spacing w:line="3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2、第三方检测机构出具的数控机床主机MTBF（平均无故障间隔时间）检测报告</w:t>
      </w:r>
    </w:p>
    <w:p>
      <w:pPr>
        <w:widowControl/>
        <w:spacing w:line="3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近期</w:t>
      </w:r>
      <w:r>
        <w:rPr>
          <w:rFonts w:hint="eastAsia" w:ascii="仿宋_GB2312" w:hAnsi="仿宋_GB2312" w:eastAsia="仿宋_GB2312" w:cs="仿宋_GB2312"/>
          <w:sz w:val="24"/>
        </w:rPr>
        <w:t>（201</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年1月1日至申报截止期）所完成的主机MTBF检测报告。</w:t>
      </w:r>
    </w:p>
    <w:p>
      <w:pPr>
        <w:widowControl/>
        <w:spacing w:line="3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3、企业或第三方研究机构（高校、研究院、所等）为企业典型产品开展故障采集后形成的统计、分析报告</w:t>
      </w:r>
    </w:p>
    <w:p>
      <w:pPr>
        <w:widowControl/>
        <w:spacing w:line="3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近期</w:t>
      </w:r>
      <w:r>
        <w:rPr>
          <w:rFonts w:hint="eastAsia" w:ascii="仿宋_GB2312" w:hAnsi="仿宋_GB2312" w:eastAsia="仿宋_GB2312" w:cs="仿宋_GB2312"/>
          <w:sz w:val="24"/>
        </w:rPr>
        <w:t>（201</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年1月1日至申报截止期）所开展的产品故障统计分析报告，包括产品在用户的使用情况、主要故障记录、故障的分析和处理，20台（套）各运行一年以上的统计数据，并分析计算该类产品的MTBF。</w:t>
      </w:r>
    </w:p>
    <w:p>
      <w:pPr>
        <w:widowControl/>
        <w:spacing w:line="3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报告中所统计产品原则上应为同一系列产品，如专项前期安排过类似产品研究，则所统计的产品技术指标应接近于专项前期任务安排指标，不接收技术水平较低产品（如非数控产品、简易（经济型）数控机床及数控系统、功能部件）的分析报告。</w:t>
      </w:r>
    </w:p>
    <w:p>
      <w:pPr>
        <w:widowControl/>
        <w:spacing w:line="360" w:lineRule="exact"/>
        <w:ind w:firstLine="480" w:firstLineChars="200"/>
        <w:rPr>
          <w:rFonts w:hint="eastAsia" w:ascii="黑体" w:hAnsi="Times New Roman" w:eastAsia="黑体" w:cs="Times New Roman"/>
          <w:sz w:val="24"/>
        </w:rPr>
      </w:pPr>
      <w:r>
        <w:rPr>
          <w:rFonts w:hint="eastAsia" w:ascii="黑体" w:eastAsia="黑体"/>
          <w:sz w:val="24"/>
        </w:rPr>
        <w:t>二、可靠性申报材料申报要求及在课题评审指标体系中的权重影响</w:t>
      </w:r>
    </w:p>
    <w:p>
      <w:pPr>
        <w:widowControl/>
        <w:spacing w:line="360" w:lineRule="exact"/>
        <w:ind w:firstLine="480" w:firstLineChars="200"/>
        <w:rPr>
          <w:rFonts w:hint="eastAsia" w:ascii="仿宋_GB2312" w:eastAsia="仿宋_GB2312"/>
          <w:sz w:val="24"/>
        </w:rPr>
      </w:pPr>
      <w:r>
        <w:rPr>
          <w:rFonts w:hint="eastAsia" w:ascii="仿宋_GB2312" w:eastAsia="仿宋_GB2312"/>
          <w:sz w:val="24"/>
        </w:rPr>
        <w:t>1、凡指南中要求提交可靠性申报材料的课题，如不提交，形式审查将不予通过。</w:t>
      </w:r>
      <w:bookmarkStart w:id="0" w:name="_GoBack"/>
      <w:bookmarkEnd w:id="0"/>
    </w:p>
    <w:p>
      <w:pPr>
        <w:widowControl/>
        <w:spacing w:line="360" w:lineRule="exact"/>
        <w:ind w:firstLine="480" w:firstLineChars="200"/>
        <w:rPr>
          <w:rFonts w:hint="eastAsia" w:ascii="仿宋_GB2312" w:eastAsia="仿宋_GB2312"/>
          <w:sz w:val="24"/>
        </w:rPr>
      </w:pPr>
      <w:r>
        <w:rPr>
          <w:rFonts w:hint="eastAsia" w:ascii="仿宋_GB2312" w:eastAsia="仿宋_GB2312"/>
          <w:sz w:val="24"/>
        </w:rPr>
        <w:t>2、可靠性申报材料的水平在评审指标体系中单独打分，占20%权重。</w:t>
      </w:r>
    </w:p>
    <w:p>
      <w:pPr>
        <w:widowControl/>
        <w:spacing w:line="360" w:lineRule="exact"/>
        <w:ind w:firstLine="480" w:firstLineChars="200"/>
        <w:rPr>
          <w:rFonts w:hint="eastAsia" w:ascii="宋体" w:hAnsi="宋体" w:eastAsia="宋体"/>
          <w:b/>
          <w:sz w:val="24"/>
        </w:rPr>
      </w:pPr>
      <w:r>
        <w:rPr>
          <w:rFonts w:hint="eastAsia" w:ascii="仿宋_GB2312" w:eastAsia="仿宋_GB2312"/>
          <w:sz w:val="24"/>
        </w:rPr>
        <w:t>3、在评审后，专项办将委托专业机构对各单位提交的可靠性申报材料进行抽查，一旦发现可靠性申报材料造假，将取消该单位申报、承担数控机床专项的资格，并予以通报。</w:t>
      </w:r>
    </w:p>
    <w:p>
      <w:pPr>
        <w:spacing w:line="360" w:lineRule="exact"/>
        <w:rPr>
          <w:rFonts w:hint="eastAsia" w:ascii="仿宋_GB2312" w:hAnsi="仿宋" w:eastAsia="仿宋_GB2312" w:cs="仿宋"/>
          <w:sz w:val="24"/>
        </w:rPr>
      </w:pPr>
    </w:p>
    <w:p>
      <w:pPr>
        <w:spacing w:line="360" w:lineRule="exact"/>
        <w:rPr>
          <w:rFonts w:hint="eastAsia" w:ascii="仿宋_GB2312" w:hAnsi="仿宋" w:eastAsia="仿宋_GB2312" w:cs="仿宋"/>
          <w:sz w:val="24"/>
        </w:rPr>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656422"/>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567B8"/>
    <w:rsid w:val="006567B8"/>
    <w:rsid w:val="009A400A"/>
    <w:rsid w:val="448E2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0"/>
    <w:pPr>
      <w:keepNext/>
      <w:spacing w:before="240" w:after="60"/>
      <w:outlineLvl w:val="0"/>
    </w:pPr>
    <w:rPr>
      <w:rFonts w:ascii="Cambria" w:hAnsi="Cambria" w:eastAsia="宋体" w:cs="宋体"/>
      <w:b/>
      <w:bCs/>
      <w:kern w:val="32"/>
      <w:sz w:val="32"/>
      <w:szCs w:val="32"/>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uiPriority w:val="99"/>
    <w:rPr>
      <w:sz w:val="18"/>
      <w:szCs w:val="18"/>
    </w:rPr>
  </w:style>
  <w:style w:type="character" w:customStyle="1" w:styleId="8">
    <w:name w:val="页脚 Char"/>
    <w:basedOn w:val="5"/>
    <w:link w:val="3"/>
    <w:qFormat/>
    <w:uiPriority w:val="99"/>
    <w:rPr>
      <w:sz w:val="18"/>
      <w:szCs w:val="18"/>
    </w:rPr>
  </w:style>
  <w:style w:type="character" w:customStyle="1" w:styleId="9">
    <w:name w:val="标题 1 Char"/>
    <w:basedOn w:val="5"/>
    <w:link w:val="2"/>
    <w:qFormat/>
    <w:uiPriority w:val="0"/>
    <w:rPr>
      <w:rFonts w:ascii="Cambria" w:hAnsi="Cambria" w:eastAsia="宋体" w:cs="宋体"/>
      <w:b/>
      <w:bCs/>
      <w:kern w:val="3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04zx</Company>
  <Pages>2</Pages>
  <Words>167</Words>
  <Characters>952</Characters>
  <Lines>7</Lines>
  <Paragraphs>2</Paragraphs>
  <TotalTime>0</TotalTime>
  <ScaleCrop>false</ScaleCrop>
  <LinksUpToDate>false</LinksUpToDate>
  <CharactersWithSpaces>1117</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2015-06-12T01:07:00Z</dcterms:created>
  <dc:creator>未定义</dc:creator>
  <cp:lastModifiedBy>lili</cp:lastModifiedBy>
  <dcterms:modified xsi:type="dcterms:W3CDTF">2017-07-27T01:02:03Z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