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6E" w:rsidRPr="00126175" w:rsidRDefault="004E336E" w:rsidP="00126175">
      <w:pPr>
        <w:widowControl/>
        <w:jc w:val="left"/>
        <w:rPr>
          <w:rFonts w:ascii="仿宋" w:eastAsia="仿宋" w:hAnsi="仿宋"/>
          <w:b/>
          <w:color w:val="000000"/>
          <w:kern w:val="24"/>
          <w:sz w:val="36"/>
        </w:rPr>
      </w:pPr>
      <w:r w:rsidRPr="00126175">
        <w:rPr>
          <w:rFonts w:ascii="仿宋" w:eastAsia="仿宋" w:hAnsi="仿宋"/>
          <w:b/>
          <w:sz w:val="36"/>
        </w:rPr>
        <w:t>附件</w:t>
      </w:r>
      <w:r w:rsidRPr="00126175">
        <w:rPr>
          <w:rFonts w:ascii="仿宋" w:eastAsia="仿宋" w:hAnsi="仿宋" w:hint="eastAsia"/>
          <w:b/>
          <w:sz w:val="36"/>
        </w:rPr>
        <w:t>：</w:t>
      </w:r>
      <w:bookmarkStart w:id="0" w:name="_GoBack"/>
      <w:bookmarkEnd w:id="0"/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7"/>
      </w:tblGrid>
      <w:tr w:rsidR="004E336E" w:rsidTr="0007683E">
        <w:trPr>
          <w:trHeight w:val="779"/>
          <w:jc w:val="center"/>
        </w:trPr>
        <w:tc>
          <w:tcPr>
            <w:tcW w:w="10787" w:type="dxa"/>
            <w:tcBorders>
              <w:top w:val="single" w:sz="4" w:space="0" w:color="auto"/>
            </w:tcBorders>
            <w:vAlign w:val="center"/>
          </w:tcPr>
          <w:p w:rsidR="004E336E" w:rsidRDefault="004E336E" w:rsidP="0007683E">
            <w:pPr>
              <w:spacing w:line="440" w:lineRule="exact"/>
              <w:ind w:leftChars="201" w:left="422" w:firstLineChars="8" w:firstLine="18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预算金额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≥</w:t>
            </w:r>
            <w:r>
              <w:rPr>
                <w:rFonts w:hint="eastAsia"/>
                <w:b/>
                <w:kern w:val="0"/>
                <w:sz w:val="22"/>
              </w:rPr>
              <w:t>20</w:t>
            </w:r>
            <w:r>
              <w:rPr>
                <w:rFonts w:hint="eastAsia"/>
                <w:b/>
                <w:kern w:val="0"/>
                <w:sz w:val="22"/>
              </w:rPr>
              <w:t>万元货物，预算金额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≥</w:t>
            </w:r>
            <w:r>
              <w:rPr>
                <w:b/>
                <w:kern w:val="0"/>
                <w:sz w:val="22"/>
              </w:rPr>
              <w:t>5</w:t>
            </w:r>
            <w:r>
              <w:rPr>
                <w:rFonts w:hint="eastAsia"/>
                <w:b/>
                <w:kern w:val="0"/>
                <w:sz w:val="22"/>
              </w:rPr>
              <w:t>0</w:t>
            </w:r>
            <w:r>
              <w:rPr>
                <w:rFonts w:hint="eastAsia"/>
                <w:b/>
                <w:kern w:val="0"/>
                <w:sz w:val="22"/>
              </w:rPr>
              <w:t>万元科研仪器设备需填写以下内容</w:t>
            </w:r>
          </w:p>
        </w:tc>
      </w:tr>
      <w:tr w:rsidR="004E336E" w:rsidTr="0007683E">
        <w:trPr>
          <w:trHeight w:val="884"/>
          <w:jc w:val="center"/>
        </w:trPr>
        <w:tc>
          <w:tcPr>
            <w:tcW w:w="10787" w:type="dxa"/>
            <w:tcBorders>
              <w:top w:val="single" w:sz="4" w:space="0" w:color="auto"/>
              <w:bottom w:val="nil"/>
            </w:tcBorders>
            <w:vAlign w:val="center"/>
          </w:tcPr>
          <w:p w:rsidR="004E336E" w:rsidRDefault="004E336E" w:rsidP="0007683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详细技术指标、规格及配置，包括所需的配件、备件等（必填）</w:t>
            </w:r>
          </w:p>
          <w:p w:rsidR="004E336E" w:rsidRDefault="004E336E" w:rsidP="0007683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（技术参数中不能含有品牌，型号及歧视性、排他性等技术条款）</w:t>
            </w:r>
          </w:p>
        </w:tc>
      </w:tr>
      <w:tr w:rsidR="004E336E" w:rsidTr="0007683E">
        <w:trPr>
          <w:trHeight w:val="4767"/>
          <w:jc w:val="center"/>
        </w:trPr>
        <w:tc>
          <w:tcPr>
            <w:tcW w:w="10787" w:type="dxa"/>
            <w:tcBorders>
              <w:top w:val="nil"/>
              <w:bottom w:val="single" w:sz="4" w:space="0" w:color="auto"/>
            </w:tcBorders>
          </w:tcPr>
          <w:p w:rsidR="004E336E" w:rsidRPr="008F47DF" w:rsidRDefault="004E336E" w:rsidP="0007683E">
            <w:pPr>
              <w:rPr>
                <w:b/>
                <w:kern w:val="0"/>
                <w:sz w:val="22"/>
              </w:rPr>
            </w:pPr>
            <w:r w:rsidRPr="008F47DF">
              <w:rPr>
                <w:rFonts w:hint="eastAsia"/>
                <w:b/>
                <w:kern w:val="0"/>
                <w:sz w:val="22"/>
              </w:rPr>
              <w:t>服务内容：</w:t>
            </w:r>
          </w:p>
          <w:p w:rsidR="004E336E" w:rsidRDefault="004E336E" w:rsidP="004E336E">
            <w:pPr>
              <w:numPr>
                <w:ilvl w:val="0"/>
                <w:numId w:val="2"/>
              </w:num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检测标准：</w:t>
            </w:r>
          </w:p>
          <w:p w:rsidR="004E336E" w:rsidRPr="00936A38" w:rsidRDefault="004E336E" w:rsidP="0007683E">
            <w:pPr>
              <w:widowControl/>
              <w:ind w:leftChars="228" w:left="479"/>
              <w:rPr>
                <w:rFonts w:ascii="宋体" w:hAnsi="宋体"/>
                <w:sz w:val="24"/>
              </w:rPr>
            </w:pPr>
            <w:r w:rsidRPr="001E382C">
              <w:rPr>
                <w:rFonts w:ascii="宋体" w:hAnsi="宋体" w:hint="eastAsia"/>
                <w:sz w:val="24"/>
              </w:rPr>
              <w:t>按现行有关技术标准、规范执行，包括但不限于GA503-2004《建筑消防设施检测技术规程》。国家、北京市实施新的检测标准、规范时，安新的标准规范执行。</w:t>
            </w:r>
          </w:p>
          <w:p w:rsidR="004E336E" w:rsidRDefault="004E336E" w:rsidP="004E336E">
            <w:pPr>
              <w:numPr>
                <w:ilvl w:val="0"/>
                <w:numId w:val="2"/>
              </w:num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消防实施检测内容：</w:t>
            </w:r>
          </w:p>
          <w:p w:rsidR="004E336E" w:rsidRDefault="004E336E" w:rsidP="0007683E">
            <w:pPr>
              <w:ind w:left="420"/>
              <w:rPr>
                <w:rFonts w:ascii="宋体" w:hAnsi="宋体"/>
                <w:sz w:val="24"/>
              </w:rPr>
            </w:pPr>
            <w:r w:rsidRPr="001E382C">
              <w:rPr>
                <w:rFonts w:ascii="宋体" w:hAnsi="宋体" w:hint="eastAsia"/>
                <w:sz w:val="24"/>
              </w:rPr>
              <w:t>火灾自动报警系统检测烟感、温感、手报；消防供水系统检测水箱、水池；室内消火栓系统</w:t>
            </w:r>
            <w:bookmarkStart w:id="1" w:name="24"/>
            <w:bookmarkEnd w:id="1"/>
            <w:r w:rsidRPr="001E382C">
              <w:rPr>
                <w:rFonts w:ascii="宋体" w:hAnsi="宋体" w:hint="eastAsia"/>
                <w:sz w:val="24"/>
              </w:rPr>
              <w:t>检测静压、动压；自动喷水（雾）灭火系统</w:t>
            </w:r>
            <w:bookmarkStart w:id="2" w:name="25"/>
            <w:bookmarkEnd w:id="2"/>
            <w:r w:rsidRPr="001E382C">
              <w:rPr>
                <w:rFonts w:ascii="宋体" w:hAnsi="宋体" w:hint="eastAsia"/>
                <w:sz w:val="24"/>
              </w:rPr>
              <w:t>检测末端压力；气体灭火系统检测模拟实验；防火门、防火卷帘门和挡烟垂壁检测动作功能；防排烟系统检测风速等。</w:t>
            </w:r>
          </w:p>
          <w:p w:rsidR="004E336E" w:rsidRDefault="004E336E" w:rsidP="004E336E">
            <w:pPr>
              <w:numPr>
                <w:ilvl w:val="0"/>
                <w:numId w:val="2"/>
              </w:numPr>
              <w:rPr>
                <w:kern w:val="0"/>
                <w:sz w:val="22"/>
              </w:rPr>
            </w:pPr>
            <w:r w:rsidRPr="0088380B">
              <w:rPr>
                <w:rFonts w:hint="eastAsia"/>
                <w:kern w:val="0"/>
                <w:sz w:val="22"/>
              </w:rPr>
              <w:t>电气防火实施检测内容：</w:t>
            </w:r>
          </w:p>
          <w:p w:rsidR="004E336E" w:rsidRDefault="004E336E" w:rsidP="0007683E">
            <w:pPr>
              <w:ind w:left="420"/>
              <w:rPr>
                <w:kern w:val="0"/>
                <w:sz w:val="22"/>
              </w:rPr>
            </w:pPr>
            <w:r w:rsidRPr="0088380B">
              <w:rPr>
                <w:rFonts w:ascii="宋体" w:hAnsi="宋体" w:hint="eastAsia"/>
                <w:sz w:val="24"/>
              </w:rPr>
              <w:t>变压器室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88380B">
              <w:rPr>
                <w:rFonts w:ascii="宋体" w:hAnsi="宋体" w:hint="eastAsia"/>
                <w:sz w:val="24"/>
              </w:rPr>
              <w:t>高（低）压配电装置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88380B">
              <w:rPr>
                <w:rFonts w:ascii="宋体" w:hAnsi="宋体" w:hint="eastAsia"/>
                <w:sz w:val="24"/>
              </w:rPr>
              <w:t>低压配电箱（盘）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88380B">
              <w:rPr>
                <w:rFonts w:ascii="宋体" w:hAnsi="宋体" w:hint="eastAsia"/>
                <w:sz w:val="24"/>
              </w:rPr>
              <w:t>低压配电线路敷设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88380B">
              <w:rPr>
                <w:rFonts w:ascii="宋体" w:hAnsi="宋体" w:hint="eastAsia"/>
                <w:sz w:val="24"/>
              </w:rPr>
              <w:t>电气照明装置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88380B">
              <w:rPr>
                <w:rFonts w:ascii="宋体" w:hAnsi="宋体" w:hint="eastAsia"/>
                <w:sz w:val="24"/>
              </w:rPr>
              <w:t>开关、插座</w:t>
            </w:r>
            <w:r>
              <w:rPr>
                <w:rFonts w:ascii="宋体" w:hAnsi="宋体" w:hint="eastAsia"/>
                <w:sz w:val="24"/>
              </w:rPr>
              <w:t>等设备设置、</w:t>
            </w:r>
            <w:r w:rsidRPr="0088380B">
              <w:rPr>
                <w:rFonts w:ascii="宋体" w:hAnsi="宋体" w:hint="eastAsia"/>
                <w:sz w:val="24"/>
              </w:rPr>
              <w:t>外观质量、组件完整性及防火措施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4E336E" w:rsidRDefault="004E336E" w:rsidP="0007683E">
            <w:pPr>
              <w:rPr>
                <w:b/>
                <w:kern w:val="0"/>
                <w:sz w:val="22"/>
              </w:rPr>
            </w:pPr>
            <w:r w:rsidRPr="00CF2DCC">
              <w:rPr>
                <w:rFonts w:hint="eastAsia"/>
                <w:b/>
                <w:kern w:val="0"/>
                <w:sz w:val="22"/>
              </w:rPr>
              <w:t>相关标准规划依据：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 w:rsidRPr="00CF2DCC">
              <w:rPr>
                <w:rFonts w:ascii="宋体" w:hAnsi="宋体" w:hint="eastAsia"/>
                <w:sz w:val="24"/>
              </w:rPr>
              <w:t>《建筑设计防火规范》</w:t>
            </w:r>
            <w:r>
              <w:rPr>
                <w:rFonts w:ascii="宋体" w:hAnsi="宋体" w:hint="eastAsia"/>
                <w:sz w:val="24"/>
              </w:rPr>
              <w:t>GB50016—2014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《火灾自动报警系统施工及验收规范》GB50166—2007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《水喷雾灭火系统技术规范》GB50219—2014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《自动喷水灭火系统施工及验收规范》GB50261—2017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《气体灭火施工及验收规范》GB50263—2007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《泡沫灭火施工及验收规范》GB50281—2006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《干粉灭火系统设计规范》GB50347—2004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《建筑灭火器配置验收及检查规范》GB50444—2008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《固定消防炮灭火系统施工及验收规范》GB50498—2009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《防火卷帘、防火门、防火窗施工及验收规范》GB50877—2014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《细水雾灭火系统技术规范》GB50898—2013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《消防给水及消火栓系统技术规范》GB50974—2014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《建筑消防设施检测评定规程》DB11/1354—2016</w:t>
            </w:r>
          </w:p>
          <w:p w:rsidR="004E336E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《消防技术服务机构设备配置》GA1157—2014</w:t>
            </w:r>
          </w:p>
          <w:p w:rsidR="004E336E" w:rsidRPr="000C1954" w:rsidRDefault="004E336E" w:rsidP="004E336E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《建设工程消防验收评定规则》GA836—2016</w:t>
            </w:r>
          </w:p>
          <w:p w:rsidR="004E336E" w:rsidRPr="008F47DF" w:rsidRDefault="004E336E" w:rsidP="0007683E">
            <w:pPr>
              <w:rPr>
                <w:b/>
                <w:kern w:val="0"/>
                <w:sz w:val="22"/>
              </w:rPr>
            </w:pPr>
            <w:r w:rsidRPr="008F47DF">
              <w:rPr>
                <w:rFonts w:hint="eastAsia"/>
                <w:b/>
                <w:kern w:val="0"/>
                <w:sz w:val="22"/>
              </w:rPr>
              <w:t>资质要求：</w:t>
            </w:r>
          </w:p>
          <w:p w:rsidR="004E336E" w:rsidRPr="000A2949" w:rsidRDefault="004E336E" w:rsidP="004E336E">
            <w:pPr>
              <w:numPr>
                <w:ilvl w:val="0"/>
                <w:numId w:val="3"/>
              </w:numPr>
              <w:rPr>
                <w:rFonts w:ascii="宋体" w:hAnsi="宋体"/>
                <w:sz w:val="24"/>
              </w:rPr>
            </w:pPr>
            <w:r w:rsidRPr="008F47DF">
              <w:rPr>
                <w:rFonts w:ascii="宋体" w:hAnsi="宋体" w:hint="eastAsia"/>
                <w:sz w:val="24"/>
              </w:rPr>
              <w:t>乙方合法持有营业执照</w:t>
            </w:r>
            <w:r>
              <w:rPr>
                <w:rFonts w:ascii="宋体" w:hAnsi="宋体" w:hint="eastAsia"/>
                <w:sz w:val="24"/>
              </w:rPr>
              <w:t>及具有中华人民共和国消防技术服务机构资质证书正式二级及以上。</w:t>
            </w:r>
          </w:p>
          <w:p w:rsidR="004E336E" w:rsidRPr="000C1954" w:rsidRDefault="004E336E" w:rsidP="004E336E">
            <w:pPr>
              <w:numPr>
                <w:ilvl w:val="0"/>
                <w:numId w:val="3"/>
              </w:numPr>
              <w:rPr>
                <w:rFonts w:ascii="宋体" w:hAnsi="宋体"/>
                <w:kern w:val="0"/>
                <w:sz w:val="24"/>
              </w:rPr>
            </w:pPr>
            <w:r w:rsidRPr="008F47DF">
              <w:rPr>
                <w:rFonts w:ascii="宋体" w:hAnsi="宋体" w:hint="eastAsia"/>
                <w:sz w:val="24"/>
              </w:rPr>
              <w:t>乙方项目组成人员应具备相应的上岗证书，并按国家规范进行检测。</w:t>
            </w:r>
          </w:p>
          <w:p w:rsidR="004E336E" w:rsidRPr="002E359D" w:rsidRDefault="004E336E" w:rsidP="0007683E">
            <w:pPr>
              <w:rPr>
                <w:b/>
                <w:kern w:val="0"/>
                <w:sz w:val="22"/>
              </w:rPr>
            </w:pPr>
            <w:r w:rsidRPr="002E359D">
              <w:rPr>
                <w:rFonts w:hint="eastAsia"/>
                <w:b/>
                <w:kern w:val="0"/>
                <w:sz w:val="22"/>
              </w:rPr>
              <w:t>中观村校区消电检检测楼宇</w:t>
            </w:r>
            <w:r>
              <w:rPr>
                <w:rFonts w:hint="eastAsia"/>
                <w:b/>
                <w:kern w:val="0"/>
                <w:sz w:val="22"/>
              </w:rPr>
              <w:t>：</w:t>
            </w:r>
          </w:p>
          <w:tbl>
            <w:tblPr>
              <w:tblW w:w="10480" w:type="dxa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2720"/>
              <w:gridCol w:w="1660"/>
              <w:gridCol w:w="860"/>
              <w:gridCol w:w="2720"/>
              <w:gridCol w:w="1660"/>
            </w:tblGrid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建筑物名称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建筑面积（㎡）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建筑物名称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建筑面积（㎡）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新1学生公寓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26699.01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36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宇航楼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30080.00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研究生1号公寓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28869.65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37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锅炉房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(生活、图书馆、北院）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3506.00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研究生2号公寓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29688.86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38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体育馆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21672.00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lastRenderedPageBreak/>
                    <w:t>4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研究生3号公寓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28758.81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39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软件楼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5885.00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3号学生公寓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4849.60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软件实训中心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2223.30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5号学生公寓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4346.80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远志楼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3632.10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6号学生公寓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4362.80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42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工程实训中心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7311.00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7号学生公寓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4345.20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43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先进加工技术实验室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1738.00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11号学生公寓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10179.24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44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网络信息中心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3632.10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12号学生公寓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8437.70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45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继续教育楼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7505.80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13号学生公寓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7061.40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46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重点实验楼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4196.00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16号学生公寓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4893.00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47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车辆实验楼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4430.70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14号留学生公寓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6950.00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48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车辆传动重点实验室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667.90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15号宿舍楼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4300.00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东发动机实验室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2462.40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2号教工公寓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6678.74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西发动机实验室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3940.80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4号教工公寓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6678.74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液压传动实验室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2632.20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8号教工公寓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8386.80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52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叶轮增压楼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1826.20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学生综合服务楼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2970.00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53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临时校医院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3000</w:t>
                  </w: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1号教学楼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12718.30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54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广播楼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1193.90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2号办公楼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3205.90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55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幼儿园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3296.08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3号教学楼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13070.50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56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附属小学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4997.00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4号教学楼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13481.30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57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新食堂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10493.00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23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5号教学楼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27953.00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58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7号食堂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4055.80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24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6号教学楼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14933.00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59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京工、延园餐厅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2103.90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25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7号教学楼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7886.60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60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教工食堂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1345.85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26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8号教学楼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16162.00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2号食堂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3564.00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27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9号教学楼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15000.00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62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3号食堂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2082.00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28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10号办公楼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4849.50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63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清真食堂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1590.00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29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信息科学实验楼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26225.00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64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6区27号楼(89-92单元)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15165.60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30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主楼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9310.90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65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9区35号楼(133单元)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18086.00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图书馆及档案馆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23162.40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66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9区36号楼(134单元)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18086.00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32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中心教学楼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38130.00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67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12号公寓地下室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400.00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33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求是楼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8634.70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68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家属24号楼地下室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900.00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34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研究生教学楼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15148.00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69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家属27号楼地下室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600.00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35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逸夫楼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3098.00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70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家属33号楼地下室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1100.00 </w:t>
                  </w:r>
                </w:p>
              </w:tc>
            </w:tr>
            <w:tr w:rsidR="004E336E" w:rsidRPr="002E359D" w:rsidTr="0007683E">
              <w:trPr>
                <w:trHeight w:val="270"/>
              </w:trPr>
              <w:tc>
                <w:tcPr>
                  <w:tcW w:w="104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36E" w:rsidRPr="002E359D" w:rsidRDefault="004E336E" w:rsidP="0007683E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总面积：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650826</w:t>
                  </w:r>
                  <w:r w:rsidRPr="002E359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.08㎡  </w:t>
                  </w:r>
                </w:p>
              </w:tc>
            </w:tr>
          </w:tbl>
          <w:p w:rsidR="004E336E" w:rsidRDefault="004E336E" w:rsidP="0007683E">
            <w:pPr>
              <w:rPr>
                <w:kern w:val="0"/>
                <w:sz w:val="22"/>
              </w:rPr>
            </w:pPr>
          </w:p>
        </w:tc>
      </w:tr>
      <w:tr w:rsidR="004E336E" w:rsidTr="0007683E">
        <w:trPr>
          <w:trHeight w:val="1331"/>
          <w:jc w:val="center"/>
        </w:trPr>
        <w:tc>
          <w:tcPr>
            <w:tcW w:w="10787" w:type="dxa"/>
            <w:tcBorders>
              <w:top w:val="single" w:sz="4" w:space="0" w:color="auto"/>
              <w:bottom w:val="single" w:sz="4" w:space="0" w:color="auto"/>
            </w:tcBorders>
          </w:tcPr>
          <w:p w:rsidR="004E336E" w:rsidRDefault="004E336E" w:rsidP="0007683E">
            <w:pPr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Tahoma" w:hAnsi="Tahoma" w:cs="Tahoma"/>
                <w:color w:val="000000"/>
                <w:kern w:val="0"/>
                <w:szCs w:val="21"/>
              </w:rPr>
              <w:t>配套性要求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Tahoma" w:hAnsi="Tahoma" w:cs="Tahoma"/>
                <w:color w:val="000000"/>
                <w:kern w:val="0"/>
                <w:szCs w:val="21"/>
              </w:rPr>
              <w:t>质保期、供货周期、售后服务、培训等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（必填）</w:t>
            </w:r>
          </w:p>
          <w:p w:rsidR="004E336E" w:rsidRDefault="004E336E" w:rsidP="004E336E">
            <w:pPr>
              <w:numPr>
                <w:ilvl w:val="0"/>
                <w:numId w:val="5"/>
              </w:numPr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乙方应在甲乙双方约定日期内完成检测服务。</w:t>
            </w:r>
          </w:p>
          <w:p w:rsidR="004E336E" w:rsidRPr="000C1954" w:rsidRDefault="004E336E" w:rsidP="004E336E">
            <w:pPr>
              <w:numPr>
                <w:ilvl w:val="0"/>
                <w:numId w:val="5"/>
              </w:numPr>
              <w:rPr>
                <w:rFonts w:ascii="Tahoma" w:hAnsi="Tahoma" w:cs="Tahoma"/>
                <w:color w:val="000000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检测报告有效期内（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ahoma" w:hAnsi="Tahoma" w:cs="Tahoma" w:hint="eastAsia"/>
                <w:color w:val="000000"/>
                <w:kern w:val="0"/>
                <w:szCs w:val="21"/>
              </w:rPr>
              <w:t>个月），乙方应无条件补发、增发检测报告。</w:t>
            </w:r>
          </w:p>
        </w:tc>
      </w:tr>
    </w:tbl>
    <w:p w:rsidR="00AA0322" w:rsidRPr="004E336E" w:rsidRDefault="00AA0322" w:rsidP="004E336E">
      <w:pPr>
        <w:widowControl/>
        <w:jc w:val="left"/>
        <w:rPr>
          <w:rFonts w:ascii="仿宋" w:eastAsia="仿宋" w:hAnsi="仿宋"/>
          <w:sz w:val="24"/>
        </w:rPr>
      </w:pPr>
    </w:p>
    <w:sectPr w:rsidR="00AA0322" w:rsidRPr="004E3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17" w:rsidRDefault="00F13117" w:rsidP="004E336E">
      <w:r>
        <w:separator/>
      </w:r>
    </w:p>
  </w:endnote>
  <w:endnote w:type="continuationSeparator" w:id="0">
    <w:p w:rsidR="00F13117" w:rsidRDefault="00F13117" w:rsidP="004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17" w:rsidRDefault="00F13117" w:rsidP="004E336E">
      <w:r>
        <w:separator/>
      </w:r>
    </w:p>
  </w:footnote>
  <w:footnote w:type="continuationSeparator" w:id="0">
    <w:p w:rsidR="00F13117" w:rsidRDefault="00F13117" w:rsidP="004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7E9C"/>
    <w:multiLevelType w:val="hybridMultilevel"/>
    <w:tmpl w:val="0A72F0C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254184"/>
    <w:multiLevelType w:val="hybridMultilevel"/>
    <w:tmpl w:val="4FCA7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5A4CE5"/>
    <w:multiLevelType w:val="singleLevel"/>
    <w:tmpl w:val="595A4CE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49D3922"/>
    <w:multiLevelType w:val="hybridMultilevel"/>
    <w:tmpl w:val="010699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D303EC"/>
    <w:multiLevelType w:val="hybridMultilevel"/>
    <w:tmpl w:val="53C069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25"/>
    <w:rsid w:val="00126175"/>
    <w:rsid w:val="003A6318"/>
    <w:rsid w:val="004E336E"/>
    <w:rsid w:val="00911625"/>
    <w:rsid w:val="00AA0322"/>
    <w:rsid w:val="00AB3C87"/>
    <w:rsid w:val="00C52F85"/>
    <w:rsid w:val="00F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DCC44"/>
  <w15:docId w15:val="{32B9FDD1-A64A-41AC-B039-60AE342E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E336E"/>
    <w:pPr>
      <w:keepNext/>
      <w:keepLines/>
      <w:adjustRightInd w:val="0"/>
      <w:snapToGrid w:val="0"/>
      <w:spacing w:line="360" w:lineRule="auto"/>
      <w:jc w:val="center"/>
      <w:outlineLvl w:val="0"/>
    </w:pPr>
    <w:rPr>
      <w:rFonts w:eastAsia="楷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3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36E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4E336E"/>
    <w:rPr>
      <w:rFonts w:ascii="Times New Roman" w:eastAsia="楷体" w:hAnsi="Times New Roman" w:cs="Times New Roman"/>
      <w:b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97540</dc:creator>
  <cp:keywords/>
  <dc:description/>
  <cp:lastModifiedBy>招采- 陈子奇</cp:lastModifiedBy>
  <cp:revision>2</cp:revision>
  <dcterms:created xsi:type="dcterms:W3CDTF">2019-04-18T06:01:00Z</dcterms:created>
  <dcterms:modified xsi:type="dcterms:W3CDTF">2019-04-18T06:01:00Z</dcterms:modified>
</cp:coreProperties>
</file>